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BA" w:rsidRPr="003C5B16" w:rsidRDefault="001831A7" w:rsidP="003C5B16">
      <w:pPr>
        <w:pStyle w:val="NoSpacing"/>
        <w:rPr>
          <w:b/>
        </w:rPr>
      </w:pPr>
      <w:r w:rsidRPr="003C5B16">
        <w:rPr>
          <w:b/>
        </w:rPr>
        <w:t>Jim Turnour</w:t>
      </w:r>
    </w:p>
    <w:p w:rsidR="003C5B16" w:rsidRPr="001831A7" w:rsidRDefault="003C5B16" w:rsidP="003C5B16">
      <w:pPr>
        <w:pStyle w:val="NoSpacing"/>
      </w:pPr>
    </w:p>
    <w:p w:rsidR="001831A7" w:rsidRPr="001831A7" w:rsidRDefault="001831A7">
      <w:pPr>
        <w:rPr>
          <w:b/>
        </w:rPr>
      </w:pPr>
      <w:bookmarkStart w:id="0" w:name="_GoBack"/>
      <w:r w:rsidRPr="001831A7">
        <w:rPr>
          <w:b/>
        </w:rPr>
        <w:t>How does your research pertain to governance?</w:t>
      </w:r>
    </w:p>
    <w:p w:rsidR="0038704E" w:rsidRDefault="00A80823">
      <w:r>
        <w:t xml:space="preserve">My research is </w:t>
      </w:r>
      <w:r w:rsidR="0038704E">
        <w:t>focused on improving</w:t>
      </w:r>
      <w:r>
        <w:t xml:space="preserve"> economic development policy with a particular focus on </w:t>
      </w:r>
      <w:r w:rsidR="0038704E">
        <w:t xml:space="preserve">government Indigenous and agriculture policy as it is applied in </w:t>
      </w:r>
      <w:r>
        <w:t xml:space="preserve">northern Australia. </w:t>
      </w:r>
      <w:r w:rsidR="0038704E">
        <w:t xml:space="preserve">Using case study methodology I am exploring the influence of </w:t>
      </w:r>
      <w:r w:rsidR="003265BC">
        <w:t xml:space="preserve">current </w:t>
      </w:r>
      <w:r w:rsidR="0038704E">
        <w:t xml:space="preserve">neoliberal governmentality on local communities. I am particularly interested in how these policies can be reformed to </w:t>
      </w:r>
      <w:r w:rsidR="005F3DB6">
        <w:t xml:space="preserve">address the needs of local communities </w:t>
      </w:r>
      <w:r w:rsidR="00256BB3">
        <w:t>in a way that</w:t>
      </w:r>
      <w:r w:rsidR="005F3DB6">
        <w:t xml:space="preserve"> </w:t>
      </w:r>
      <w:r w:rsidR="003F3A83">
        <w:t>support</w:t>
      </w:r>
      <w:r w:rsidR="00256BB3">
        <w:t>s</w:t>
      </w:r>
      <w:r w:rsidR="003F3A83">
        <w:t xml:space="preserve"> the </w:t>
      </w:r>
      <w:r w:rsidR="005F3DB6">
        <w:t>develop</w:t>
      </w:r>
      <w:r w:rsidR="003F3A83">
        <w:t>ment of</w:t>
      </w:r>
      <w:r w:rsidR="005F3DB6">
        <w:t xml:space="preserve"> sustainable livelihoods.</w:t>
      </w:r>
      <w:r w:rsidR="0038704E">
        <w:t xml:space="preserve">   </w:t>
      </w:r>
    </w:p>
    <w:p w:rsidR="00F47247" w:rsidRDefault="00907546" w:rsidP="00256BB3">
      <w:r>
        <w:t>Governance</w:t>
      </w:r>
      <w:r w:rsidR="001831A7">
        <w:t xml:space="preserve"> is a term that can </w:t>
      </w:r>
      <w:r w:rsidR="0099590C">
        <w:t>mean different things to different people and interests</w:t>
      </w:r>
      <w:r w:rsidR="001831A7">
        <w:t>.</w:t>
      </w:r>
      <w:r w:rsidR="00E8508F">
        <w:t xml:space="preserve"> </w:t>
      </w:r>
      <w:r w:rsidR="00297023">
        <w:t>I understand it as a term which describes how groups of people, communities and more broadly society formally and informally organises itself through institution</w:t>
      </w:r>
      <w:r w:rsidR="00BE00ED">
        <w:t>al</w:t>
      </w:r>
      <w:r w:rsidR="00297023">
        <w:t xml:space="preserve"> structures and processes. </w:t>
      </w:r>
      <w:r>
        <w:t xml:space="preserve">These informal and formal structures and process </w:t>
      </w:r>
      <w:r w:rsidR="00BE00ED">
        <w:t>may exert influence</w:t>
      </w:r>
      <w:r w:rsidR="006936DF">
        <w:t xml:space="preserve"> </w:t>
      </w:r>
      <w:r w:rsidR="00BE00ED">
        <w:t xml:space="preserve">in ways that are not </w:t>
      </w:r>
      <w:r>
        <w:t xml:space="preserve">always </w:t>
      </w:r>
      <w:r w:rsidR="00BE00ED">
        <w:t>obvious</w:t>
      </w:r>
      <w:r w:rsidR="003B4C19">
        <w:t xml:space="preserve"> to individuals </w:t>
      </w:r>
      <w:r w:rsidR="003265BC">
        <w:t>or communities</w:t>
      </w:r>
      <w:r w:rsidR="00BE00ED">
        <w:t xml:space="preserve">. </w:t>
      </w:r>
      <w:r w:rsidR="002478DC">
        <w:t xml:space="preserve">This is because we can be blind to the established power structures, values and norms that guide everyday life in </w:t>
      </w:r>
      <w:r w:rsidR="00330646">
        <w:t>a</w:t>
      </w:r>
      <w:r w:rsidR="002478DC">
        <w:t xml:space="preserve"> community. </w:t>
      </w:r>
      <w:r w:rsidR="00553809">
        <w:t xml:space="preserve">My work seeks to make more explicit particularly how government policy influences </w:t>
      </w:r>
      <w:r w:rsidR="002478DC">
        <w:t xml:space="preserve">the way that communities function </w:t>
      </w:r>
      <w:r w:rsidR="00553809">
        <w:t xml:space="preserve">in positive and negative ways. </w:t>
      </w:r>
    </w:p>
    <w:p w:rsidR="00C01A8C" w:rsidRPr="00C01A8C" w:rsidRDefault="00C01A8C" w:rsidP="00C01A8C">
      <w:pPr>
        <w:rPr>
          <w:b/>
        </w:rPr>
      </w:pPr>
      <w:r w:rsidRPr="00C01A8C">
        <w:rPr>
          <w:b/>
        </w:rPr>
        <w:t>What interesting things are you thinking or finding?</w:t>
      </w:r>
    </w:p>
    <w:p w:rsidR="00B12265" w:rsidRDefault="00593E86" w:rsidP="00B83929">
      <w:r>
        <w:t xml:space="preserve">That public sector governance reform is required to make policy more responsive to the needs and aspirations of individual communities and places. </w:t>
      </w:r>
      <w:r w:rsidR="00F47247">
        <w:t>This is particularly important when working across cultures where the rationalities implicit in neoliberal governance are different to those within Indigenous culture</w:t>
      </w:r>
      <w:r w:rsidR="00FC0824">
        <w:t xml:space="preserve"> knowledge systems</w:t>
      </w:r>
      <w:r w:rsidR="00F47247">
        <w:t xml:space="preserve">. </w:t>
      </w:r>
      <w:r w:rsidR="00B12265" w:rsidRPr="00877D56">
        <w:t xml:space="preserve">Western governance and its accountabilities can seem foreign and bureaucratic to </w:t>
      </w:r>
      <w:r w:rsidR="00B12265">
        <w:t>Indigenous</w:t>
      </w:r>
      <w:r w:rsidR="00B12265" w:rsidRPr="00877D56">
        <w:t xml:space="preserve"> groups where their governance and accountabilities </w:t>
      </w:r>
      <w:r w:rsidR="002478DC">
        <w:t xml:space="preserve">maybe </w:t>
      </w:r>
      <w:r w:rsidR="00B12265" w:rsidRPr="00877D56">
        <w:t xml:space="preserve">expected to align with the </w:t>
      </w:r>
      <w:r w:rsidR="002478DC">
        <w:t xml:space="preserve">values and </w:t>
      </w:r>
      <w:r w:rsidR="00B12265" w:rsidRPr="00877D56">
        <w:t xml:space="preserve">norms of traditional cultural knowledge. </w:t>
      </w:r>
    </w:p>
    <w:p w:rsidR="00877D56" w:rsidRDefault="00F47247" w:rsidP="00B83929">
      <w:r>
        <w:t xml:space="preserve">There is a need </w:t>
      </w:r>
      <w:r w:rsidR="00877D56">
        <w:t xml:space="preserve">therefore </w:t>
      </w:r>
      <w:r>
        <w:t xml:space="preserve">to explicitly support the Indigenous sector to develop their governance systems in a way that enables Indigenous peoples’ to balance their cultural responsibilities with engagement in mainstream economic activity. </w:t>
      </w:r>
      <w:r w:rsidR="00877D56">
        <w:t xml:space="preserve">Governance support for Indigenous organisations </w:t>
      </w:r>
      <w:r w:rsidR="00FC0824">
        <w:t xml:space="preserve">and their aspirations </w:t>
      </w:r>
      <w:r w:rsidR="00B12265">
        <w:t xml:space="preserve">however, </w:t>
      </w:r>
      <w:r w:rsidR="00877D56">
        <w:t xml:space="preserve">tends to be narrowly focused on specific accountabilities around individual projects or support for business development and mainstream employment. </w:t>
      </w:r>
      <w:r w:rsidR="00B12265">
        <w:t xml:space="preserve">Bridging the divide between Western and Indigenous cultural knowledge </w:t>
      </w:r>
      <w:r w:rsidR="00126423">
        <w:t xml:space="preserve">around ‘good’ governance </w:t>
      </w:r>
      <w:r w:rsidR="00B12265">
        <w:t>requires reform of the overall system.</w:t>
      </w:r>
    </w:p>
    <w:p w:rsidR="00030A99" w:rsidRDefault="00FC0824" w:rsidP="00256BB3">
      <w:r>
        <w:t xml:space="preserve">Paradoxes </w:t>
      </w:r>
      <w:r w:rsidR="003B4C19">
        <w:t>can</w:t>
      </w:r>
      <w:r>
        <w:t xml:space="preserve"> emerge </w:t>
      </w:r>
      <w:r w:rsidR="003B4C19">
        <w:t xml:space="preserve">as what might seem true at one scale or culture may not </w:t>
      </w:r>
      <w:r w:rsidR="00256BB3">
        <w:t>at</w:t>
      </w:r>
      <w:r w:rsidR="009232CB">
        <w:t xml:space="preserve"> another. This is particularly the case when policy is discussed, developed and implemented in the abstract removed from the context in which the problem it is designed to address exists. </w:t>
      </w:r>
      <w:r w:rsidR="00AB1DBB">
        <w:t>Researching polic</w:t>
      </w:r>
      <w:r w:rsidR="002550EC">
        <w:t>y</w:t>
      </w:r>
      <w:r w:rsidR="00AB1DBB">
        <w:t xml:space="preserve"> within real world contexts through case studies makes</w:t>
      </w:r>
      <w:r w:rsidR="0099590C">
        <w:t xml:space="preserve"> more explicit </w:t>
      </w:r>
      <w:r w:rsidR="002550EC">
        <w:t>the relevance of the policy’s underlying assumptions and its impact</w:t>
      </w:r>
      <w:r w:rsidR="00AB1DBB">
        <w:t xml:space="preserve"> on </w:t>
      </w:r>
      <w:r w:rsidR="002550EC">
        <w:t xml:space="preserve">a </w:t>
      </w:r>
      <w:r w:rsidR="00AB1DBB">
        <w:t>local communit</w:t>
      </w:r>
      <w:r w:rsidR="002550EC">
        <w:t>y</w:t>
      </w:r>
      <w:r w:rsidR="00AB1DBB">
        <w:t xml:space="preserve">. </w:t>
      </w:r>
      <w:r w:rsidR="002478DC">
        <w:t xml:space="preserve">For example </w:t>
      </w:r>
      <w:proofErr w:type="gramStart"/>
      <w:r w:rsidR="002478DC">
        <w:t>the disconnect</w:t>
      </w:r>
      <w:proofErr w:type="gramEnd"/>
      <w:r w:rsidR="00014B94">
        <w:t xml:space="preserve"> </w:t>
      </w:r>
      <w:r w:rsidR="003265BC">
        <w:t xml:space="preserve">between some western assumptions about what is economically rational can become clearer when development is considered in an Indigenous context. </w:t>
      </w:r>
      <w:r w:rsidR="00014B94">
        <w:t xml:space="preserve">Scale can similarly produce policy paradoxes. Aggregating a nations resources </w:t>
      </w:r>
      <w:r w:rsidR="002478DC">
        <w:t xml:space="preserve">for example </w:t>
      </w:r>
      <w:r w:rsidR="00014B94">
        <w:t xml:space="preserve">in considering economic competitiveness </w:t>
      </w:r>
      <w:r w:rsidR="002478DC">
        <w:t xml:space="preserve">can </w:t>
      </w:r>
      <w:r w:rsidR="00014B94">
        <w:t>fail to recognise the unique streng</w:t>
      </w:r>
      <w:r w:rsidR="00030A99">
        <w:t xml:space="preserve">ths of individual regions. </w:t>
      </w:r>
    </w:p>
    <w:p w:rsidR="00030A99" w:rsidRDefault="00030A99" w:rsidP="00256BB3">
      <w:r>
        <w:t xml:space="preserve">Place-based approaches encourage collaboration between a range of different stakeholders in a community to tackle complex social, economic and environmental problems. They build on local values and strengths while keeping communities open and engaged without values and ideas. They potentially provide a policy framework to address the challenges of Indigenous disadvantage and rural community decline. </w:t>
      </w:r>
    </w:p>
    <w:p w:rsidR="006D75FC" w:rsidRPr="006D75FC" w:rsidRDefault="006D75FC" w:rsidP="00B83929">
      <w:pPr>
        <w:rPr>
          <w:b/>
        </w:rPr>
      </w:pPr>
      <w:r w:rsidRPr="006D75FC">
        <w:rPr>
          <w:b/>
        </w:rPr>
        <w:lastRenderedPageBreak/>
        <w:t>Some of the theory you are using or making?</w:t>
      </w:r>
    </w:p>
    <w:p w:rsidR="00BB3E04" w:rsidRDefault="002478DC" w:rsidP="00B83929">
      <w:r>
        <w:t>N</w:t>
      </w:r>
      <w:r w:rsidR="00BB3E04">
        <w:t>eoliberalism, sustainable livelihoods</w:t>
      </w:r>
      <w:r>
        <w:t>, place-based</w:t>
      </w:r>
      <w:r w:rsidR="00BB3E04">
        <w:t xml:space="preserve"> and post-colonial theory </w:t>
      </w:r>
      <w:r w:rsidR="0099590C">
        <w:t>are</w:t>
      </w:r>
      <w:r>
        <w:t xml:space="preserve"> all</w:t>
      </w:r>
      <w:r w:rsidR="0099590C">
        <w:t xml:space="preserve"> helping to</w:t>
      </w:r>
      <w:r w:rsidR="00440D61">
        <w:t xml:space="preserve"> inform my thinking.</w:t>
      </w:r>
    </w:p>
    <w:p w:rsidR="006D75FC" w:rsidRDefault="00B827DD" w:rsidP="00B83929">
      <w:r>
        <w:t>Through literature review I have identified n</w:t>
      </w:r>
      <w:r w:rsidR="006D75FC">
        <w:t xml:space="preserve">eoliberalism </w:t>
      </w:r>
      <w:r>
        <w:t>as an</w:t>
      </w:r>
      <w:r w:rsidR="006D75FC">
        <w:t xml:space="preserve"> ideology and governmentality</w:t>
      </w:r>
      <w:r>
        <w:t xml:space="preserve"> as </w:t>
      </w:r>
      <w:r w:rsidR="00BB3E04">
        <w:t>useful theoretical frameworks</w:t>
      </w:r>
      <w:r>
        <w:t>. Ideologically it has been the dominant policy framework in Australia since the 1980s although there is a great deal of contradiction in its application. As a governmentality it has been useful in understanding how governments can use power diffusely through the way they structure programs and priorities. Governance could be</w:t>
      </w:r>
      <w:r w:rsidR="00BB3E04">
        <w:t xml:space="preserve"> seen as</w:t>
      </w:r>
      <w:r>
        <w:t xml:space="preserve"> an example of this as ‘good governance’ becomes a basis for</w:t>
      </w:r>
      <w:r w:rsidR="00BB3E04">
        <w:t xml:space="preserve"> funding</w:t>
      </w:r>
      <w:r w:rsidR="00330646">
        <w:t xml:space="preserve"> particular groups</w:t>
      </w:r>
      <w:r w:rsidR="00BB3E04">
        <w:t>.</w:t>
      </w:r>
      <w:r>
        <w:t xml:space="preserve">  </w:t>
      </w:r>
    </w:p>
    <w:p w:rsidR="006D75FC" w:rsidRDefault="00BB3E04" w:rsidP="00B83929">
      <w:r>
        <w:t xml:space="preserve">The sustainable livelihoods </w:t>
      </w:r>
      <w:r w:rsidR="002478DC">
        <w:t>approaches</w:t>
      </w:r>
      <w:r w:rsidR="00B57B8B">
        <w:t xml:space="preserve"> grounded in international development theory take</w:t>
      </w:r>
      <w:r w:rsidR="00330646">
        <w:t>s</w:t>
      </w:r>
      <w:r w:rsidR="00B57B8B">
        <w:t xml:space="preserve"> an assets based approach </w:t>
      </w:r>
      <w:r w:rsidR="00330646">
        <w:t xml:space="preserve">to development </w:t>
      </w:r>
      <w:r w:rsidR="00B57B8B">
        <w:t>and</w:t>
      </w:r>
      <w:r>
        <w:t xml:space="preserve"> highlight</w:t>
      </w:r>
      <w:r w:rsidR="00330646">
        <w:t>s</w:t>
      </w:r>
      <w:r>
        <w:t xml:space="preserve"> the importance of institutions and governance to the development of </w:t>
      </w:r>
      <w:r w:rsidR="00330646">
        <w:t>sustainable livelihoods</w:t>
      </w:r>
      <w:r>
        <w:t>.</w:t>
      </w:r>
      <w:r w:rsidR="00B57B8B">
        <w:t xml:space="preserve"> When considered within a place-based context they provide potentially a new way to approach economic development.</w:t>
      </w:r>
    </w:p>
    <w:p w:rsidR="006D75FC" w:rsidRDefault="006D75FC" w:rsidP="00B83929">
      <w:r>
        <w:t>Post-colonial theory</w:t>
      </w:r>
      <w:r w:rsidR="00B57B8B">
        <w:t xml:space="preserve"> has been important in understanding Australian history and the context for Indigenous disadvantage. It highlights the need to be respectful of alternative knowledge systems and to first and foremost make research relevant to Indigenous peoples and communities</w:t>
      </w:r>
      <w:r w:rsidR="00BB3E04">
        <w:t xml:space="preserve">. </w:t>
      </w:r>
    </w:p>
    <w:p w:rsidR="000B068B" w:rsidRDefault="000B068B" w:rsidP="000B068B">
      <w:r>
        <w:t>Some relevant references that inform each theoretical understanding include:</w:t>
      </w:r>
    </w:p>
    <w:p w:rsidR="000B068B" w:rsidRPr="000B068B" w:rsidRDefault="000B068B" w:rsidP="000B068B">
      <w:pPr>
        <w:rPr>
          <w:b/>
        </w:rPr>
      </w:pPr>
      <w:r w:rsidRPr="000B068B">
        <w:rPr>
          <w:b/>
        </w:rPr>
        <w:t>Neoliberalism</w:t>
      </w:r>
    </w:p>
    <w:p w:rsidR="00597584" w:rsidRDefault="00597584" w:rsidP="000B068B">
      <w:proofErr w:type="spellStart"/>
      <w:r w:rsidRPr="000B068B">
        <w:t>Gane</w:t>
      </w:r>
      <w:proofErr w:type="spellEnd"/>
      <w:r w:rsidRPr="000B068B">
        <w:t xml:space="preserve">, N. (2013). "The emergence of neoliberalism: Thinking through and beyond Michel Foucault’s lectures on </w:t>
      </w:r>
      <w:proofErr w:type="spellStart"/>
      <w:r w:rsidRPr="000B068B">
        <w:t>biopolitics</w:t>
      </w:r>
      <w:proofErr w:type="spellEnd"/>
      <w:r w:rsidRPr="000B068B">
        <w:t>." Theory, Culture &amp; Society: 0263276413506944</w:t>
      </w:r>
      <w:r>
        <w:t xml:space="preserve">. </w:t>
      </w:r>
    </w:p>
    <w:p w:rsidR="00597584" w:rsidRPr="000B068B" w:rsidRDefault="00597584" w:rsidP="00597584">
      <w:r w:rsidRPr="000B068B">
        <w:t>Harvey, D. (2005). A brief history of neoliberalism, Oxford University Press.</w:t>
      </w:r>
    </w:p>
    <w:p w:rsidR="000B068B" w:rsidRPr="000B068B" w:rsidRDefault="000B068B" w:rsidP="000B068B">
      <w:proofErr w:type="spellStart"/>
      <w:r w:rsidRPr="000B068B">
        <w:t>Larner</w:t>
      </w:r>
      <w:proofErr w:type="spellEnd"/>
      <w:r w:rsidRPr="000B068B">
        <w:t>, W. (2000). Neo-liberalism: Policy, ideology, governmentality. Studies in political economy, 63.</w:t>
      </w:r>
    </w:p>
    <w:p w:rsidR="00597584" w:rsidRPr="00597584" w:rsidRDefault="00597584" w:rsidP="00597584">
      <w:r w:rsidRPr="00597584">
        <w:t xml:space="preserve">Lemke, T. (2001). 'The birth of bio-politics': Michel Foucault's lecture at the </w:t>
      </w:r>
      <w:proofErr w:type="spellStart"/>
      <w:r w:rsidRPr="00597584">
        <w:t>Collège</w:t>
      </w:r>
      <w:proofErr w:type="spellEnd"/>
      <w:r w:rsidRPr="00597584">
        <w:t xml:space="preserve"> de France on neo-liberal governmentality. </w:t>
      </w:r>
      <w:r w:rsidRPr="00597584">
        <w:rPr>
          <w:i/>
          <w:iCs/>
        </w:rPr>
        <w:t>Economy and Society, 30</w:t>
      </w:r>
      <w:r w:rsidRPr="00597584">
        <w:t xml:space="preserve">(2), 190-207. </w:t>
      </w:r>
      <w:proofErr w:type="spellStart"/>
      <w:proofErr w:type="gramStart"/>
      <w:r w:rsidRPr="00597584">
        <w:t>doi</w:t>
      </w:r>
      <w:proofErr w:type="spellEnd"/>
      <w:proofErr w:type="gramEnd"/>
      <w:r w:rsidRPr="00597584">
        <w:t>: 10.1080/03085140120042271</w:t>
      </w:r>
    </w:p>
    <w:p w:rsidR="00597584" w:rsidRPr="00597584" w:rsidRDefault="00597584" w:rsidP="00597584">
      <w:r w:rsidRPr="00597584">
        <w:t xml:space="preserve">Miller, P., &amp; Rose, N. (2008). Governing the present. </w:t>
      </w:r>
      <w:r w:rsidRPr="00597584">
        <w:rPr>
          <w:i/>
          <w:iCs/>
        </w:rPr>
        <w:t>Cambridge: Polity</w:t>
      </w:r>
      <w:r w:rsidRPr="00597584">
        <w:t xml:space="preserve">. </w:t>
      </w:r>
    </w:p>
    <w:p w:rsidR="000B068B" w:rsidRPr="000B068B" w:rsidRDefault="000B068B" w:rsidP="000B068B">
      <w:r w:rsidRPr="000B068B">
        <w:t>Peck, J. (2010). Constructions of neoliberal reason, Oxford University Press.</w:t>
      </w:r>
    </w:p>
    <w:p w:rsidR="000B068B" w:rsidRPr="000B068B" w:rsidRDefault="000B068B" w:rsidP="000B068B">
      <w:r w:rsidRPr="000B068B">
        <w:t>Sullivan, P. (2011). Belonging Together: Dealing with the politics of disenchantment in Australian Indigenous affairs Policy. Aboriginal Studies Press.</w:t>
      </w:r>
    </w:p>
    <w:p w:rsidR="000B068B" w:rsidRPr="000B068B" w:rsidRDefault="000B068B" w:rsidP="000B068B">
      <w:pPr>
        <w:rPr>
          <w:b/>
        </w:rPr>
      </w:pPr>
      <w:r w:rsidRPr="000B068B">
        <w:rPr>
          <w:b/>
        </w:rPr>
        <w:t>Sustainable Livelihoods</w:t>
      </w:r>
    </w:p>
    <w:p w:rsidR="00597584" w:rsidRDefault="00597584" w:rsidP="00597584">
      <w:r w:rsidRPr="000B068B">
        <w:t>APO NT, Ed. (2011). Creating and supporting sustainable livelihoods: A Proposal for a New Remote Participation, Employment and Enterprise Development Scheme. Darwin, Aboriginal Peak Organisations Northern Territory.</w:t>
      </w:r>
    </w:p>
    <w:p w:rsidR="00F172BD" w:rsidRDefault="00597584" w:rsidP="00597584">
      <w:r w:rsidRPr="00597584">
        <w:t xml:space="preserve">Davies, J., Campbell, D., Campbell, M., Douglas, J., </w:t>
      </w:r>
      <w:proofErr w:type="spellStart"/>
      <w:r w:rsidRPr="00597584">
        <w:t>Hueneke</w:t>
      </w:r>
      <w:proofErr w:type="spellEnd"/>
      <w:r w:rsidRPr="00597584">
        <w:t xml:space="preserve">, H., </w:t>
      </w:r>
      <w:proofErr w:type="spellStart"/>
      <w:r w:rsidRPr="00597584">
        <w:t>LaFlamme</w:t>
      </w:r>
      <w:proofErr w:type="spellEnd"/>
      <w:r w:rsidRPr="00597584">
        <w:t xml:space="preserve">, M., Walsh, F. (2011). Attention to four key principles can promote health outcomes from desert Aboriginal land management. The Rangeland Journal, 33(4), 417-431. </w:t>
      </w:r>
    </w:p>
    <w:p w:rsidR="00597584" w:rsidRPr="000B068B" w:rsidRDefault="00597584" w:rsidP="00597584">
      <w:r w:rsidRPr="000B068B">
        <w:lastRenderedPageBreak/>
        <w:t>Davies J., et al. (2008). "Applying the sustainable livelihoods approach in Australian desert Aboriginal development." RANGELAND JOURNAL 30(1): 55-65.</w:t>
      </w:r>
    </w:p>
    <w:p w:rsidR="000B068B" w:rsidRPr="000B068B" w:rsidRDefault="000B068B" w:rsidP="000B068B">
      <w:r w:rsidRPr="000B068B">
        <w:t>Chambers, R. and G. Conway (1992). "Sustainable rural livelihoods: practical concepts for the 21st century</w:t>
      </w:r>
      <w:proofErr w:type="gramStart"/>
      <w:r w:rsidRPr="000B068B">
        <w:t>.“</w:t>
      </w:r>
      <w:proofErr w:type="gramEnd"/>
    </w:p>
    <w:p w:rsidR="000B068B" w:rsidRPr="000B068B" w:rsidRDefault="000B068B" w:rsidP="000B068B">
      <w:proofErr w:type="spellStart"/>
      <w:r w:rsidRPr="000B068B">
        <w:t>Scoones</w:t>
      </w:r>
      <w:proofErr w:type="spellEnd"/>
      <w:r w:rsidRPr="000B068B">
        <w:t>, I. (2009). "Livelihoods perspectives and rural development." The Journal of Peasant Studies 36(1): 171-196.</w:t>
      </w:r>
    </w:p>
    <w:p w:rsidR="00597584" w:rsidRPr="00597584" w:rsidRDefault="00597584" w:rsidP="000B068B">
      <w:pPr>
        <w:rPr>
          <w:b/>
        </w:rPr>
      </w:pPr>
      <w:r w:rsidRPr="00597584">
        <w:rPr>
          <w:b/>
        </w:rPr>
        <w:t>Place-based approaches</w:t>
      </w:r>
    </w:p>
    <w:p w:rsidR="00597584" w:rsidRDefault="00597584" w:rsidP="000B068B">
      <w:proofErr w:type="spellStart"/>
      <w:r w:rsidRPr="00597584">
        <w:t>Barca</w:t>
      </w:r>
      <w:proofErr w:type="spellEnd"/>
      <w:r w:rsidRPr="00597584">
        <w:t xml:space="preserve">, F., McCann, P., &amp; Rodríguez-Pose, A. (2012). The Case for Regional Development Intervention: Place-Based Versus Place-Neutral Approaches*. Journal of Regional Science, 52(1), 134-152. </w:t>
      </w:r>
      <w:proofErr w:type="spellStart"/>
      <w:proofErr w:type="gramStart"/>
      <w:r w:rsidRPr="00597584">
        <w:t>doi</w:t>
      </w:r>
      <w:proofErr w:type="spellEnd"/>
      <w:proofErr w:type="gramEnd"/>
      <w:r w:rsidRPr="00597584">
        <w:t>: 10.1111/j.1467-9787.2011.00756.x</w:t>
      </w:r>
    </w:p>
    <w:p w:rsidR="00597584" w:rsidRPr="00597584" w:rsidRDefault="00597584" w:rsidP="00597584">
      <w:bookmarkStart w:id="1" w:name="_ENREF_54"/>
      <w:r w:rsidRPr="00597584">
        <w:t xml:space="preserve">OECD. (2006). </w:t>
      </w:r>
      <w:proofErr w:type="gramStart"/>
      <w:r w:rsidRPr="00597584">
        <w:rPr>
          <w:i/>
        </w:rPr>
        <w:t>The</w:t>
      </w:r>
      <w:proofErr w:type="gramEnd"/>
      <w:r w:rsidRPr="00597584">
        <w:rPr>
          <w:i/>
        </w:rPr>
        <w:t xml:space="preserve"> new rural paradigm: Policies and governance</w:t>
      </w:r>
      <w:r w:rsidRPr="00597584">
        <w:t>. Paris: Organisation for Economic Co-operation and Development. Retrieved from http://www.oecd.org/gov/regional-policy/thenewruralparadigmpoliciesandgovernance.htm.</w:t>
      </w:r>
      <w:bookmarkEnd w:id="1"/>
    </w:p>
    <w:p w:rsidR="00597584" w:rsidRPr="00597584" w:rsidRDefault="00597584" w:rsidP="00597584">
      <w:r w:rsidRPr="00597584">
        <w:t xml:space="preserve">Regional Australia Institute, (2013). </w:t>
      </w:r>
      <w:r w:rsidRPr="00597584">
        <w:rPr>
          <w:i/>
        </w:rPr>
        <w:t>Rethinking the Future of Northern Australia’s Regions: More than mines, dams and development dreams,</w:t>
      </w:r>
      <w:r w:rsidRPr="00597584">
        <w:t xml:space="preserve"> retrieved from </w:t>
      </w:r>
      <w:hyperlink r:id="rId6" w:history="1">
        <w:r w:rsidRPr="00597584">
          <w:rPr>
            <w:rStyle w:val="Hyperlink"/>
          </w:rPr>
          <w:t>http://www.regionalaustralia.org.au/wp-content/uploads/2013/11/Rethinking-the-future-of-northern-Australias-regions1.pdf</w:t>
        </w:r>
      </w:hyperlink>
      <w:r w:rsidRPr="00597584">
        <w:t xml:space="preserve"> </w:t>
      </w:r>
    </w:p>
    <w:p w:rsidR="00597584" w:rsidRPr="000B068B" w:rsidRDefault="00597584" w:rsidP="000B068B">
      <w:proofErr w:type="spellStart"/>
      <w:r w:rsidRPr="00597584">
        <w:t>Tomaney</w:t>
      </w:r>
      <w:proofErr w:type="spellEnd"/>
      <w:r w:rsidRPr="00597584">
        <w:t xml:space="preserve">, J., (2010). </w:t>
      </w:r>
      <w:r w:rsidRPr="00597584">
        <w:rPr>
          <w:i/>
        </w:rPr>
        <w:t>Place-based approaches to regional development: Global trends and Australian implications.</w:t>
      </w:r>
      <w:r w:rsidRPr="00597584">
        <w:t xml:space="preserve"> Retrieved from </w:t>
      </w:r>
      <w:hyperlink r:id="rId7" w:history="1">
        <w:r w:rsidRPr="00597584">
          <w:rPr>
            <w:rStyle w:val="Hyperlink"/>
          </w:rPr>
          <w:t>http://www.tci-network.org/media/asset_publics/resources/000/004/399/original/place_based_competitiveness_australia.pdf</w:t>
        </w:r>
      </w:hyperlink>
    </w:p>
    <w:p w:rsidR="000B068B" w:rsidRPr="00597584" w:rsidRDefault="000B068B" w:rsidP="000B068B">
      <w:pPr>
        <w:rPr>
          <w:b/>
        </w:rPr>
      </w:pPr>
      <w:proofErr w:type="spellStart"/>
      <w:r w:rsidRPr="00597584">
        <w:rPr>
          <w:b/>
        </w:rPr>
        <w:t>Post colonial</w:t>
      </w:r>
      <w:proofErr w:type="spellEnd"/>
      <w:r w:rsidRPr="00597584">
        <w:rPr>
          <w:b/>
        </w:rPr>
        <w:t xml:space="preserve"> theory</w:t>
      </w:r>
    </w:p>
    <w:p w:rsidR="00F172BD" w:rsidRPr="00F172BD" w:rsidRDefault="00F172BD" w:rsidP="00F172BD">
      <w:r w:rsidRPr="00F172BD">
        <w:t xml:space="preserve">Agrawal, A. (1995). Dismantling the divide between indigenous and scientific knowledge. </w:t>
      </w:r>
      <w:r w:rsidRPr="00F172BD">
        <w:rPr>
          <w:i/>
          <w:iCs/>
        </w:rPr>
        <w:t>Development and Change, 26</w:t>
      </w:r>
      <w:r w:rsidRPr="00F172BD">
        <w:t xml:space="preserve">(3), 413-439. </w:t>
      </w:r>
    </w:p>
    <w:p w:rsidR="00F172BD" w:rsidRDefault="00F172BD" w:rsidP="00F172BD">
      <w:r w:rsidRPr="000B068B">
        <w:t>Christie, M. (2014). Decolonizing Methodology in an Arnhem Land Garden. Cross/Cultures, (173), 57.</w:t>
      </w:r>
    </w:p>
    <w:p w:rsidR="00F172BD" w:rsidRDefault="00F172BD" w:rsidP="000B068B">
      <w:r w:rsidRPr="00F172BD">
        <w:t xml:space="preserve">Martin, K. L. (2008). </w:t>
      </w:r>
      <w:r w:rsidRPr="00F172BD">
        <w:rPr>
          <w:i/>
          <w:iCs/>
        </w:rPr>
        <w:t>Please knock before you enter: Aboriginal regulation of outsiders and the implications for researchers</w:t>
      </w:r>
      <w:r w:rsidRPr="00F172BD">
        <w:t>: Post Pressed Teneriffe, Brisbane.</w:t>
      </w:r>
    </w:p>
    <w:p w:rsidR="000B068B" w:rsidRPr="000B068B" w:rsidRDefault="000B068B" w:rsidP="000B068B">
      <w:r w:rsidRPr="000B068B">
        <w:t>Nakata, M. (2007).The cultural interface. The Australian Journal of Indigenous Education, 36(5), 2–14.</w:t>
      </w:r>
    </w:p>
    <w:p w:rsidR="000B068B" w:rsidRPr="000B068B" w:rsidRDefault="000B068B" w:rsidP="000B068B">
      <w:proofErr w:type="spellStart"/>
      <w:r w:rsidRPr="000B068B">
        <w:t>Rigney</w:t>
      </w:r>
      <w:proofErr w:type="spellEnd"/>
      <w:r w:rsidRPr="000B068B">
        <w:t xml:space="preserve">, L. I. (1999). Internationalization of an indigenous anticolonial cultural critique of research methodologies: a guide to </w:t>
      </w:r>
      <w:proofErr w:type="spellStart"/>
      <w:r w:rsidRPr="000B068B">
        <w:t>indigenist</w:t>
      </w:r>
      <w:proofErr w:type="spellEnd"/>
      <w:r w:rsidRPr="000B068B">
        <w:t xml:space="preserve"> research methodology and its principles. </w:t>
      </w:r>
      <w:proofErr w:type="spellStart"/>
      <w:r w:rsidRPr="000B068B">
        <w:t>Wicazo</w:t>
      </w:r>
      <w:proofErr w:type="spellEnd"/>
      <w:r w:rsidRPr="000B068B">
        <w:t xml:space="preserve"> </w:t>
      </w:r>
      <w:proofErr w:type="gramStart"/>
      <w:r w:rsidRPr="000B068B">
        <w:t>Sa</w:t>
      </w:r>
      <w:proofErr w:type="gramEnd"/>
      <w:r w:rsidRPr="000B068B">
        <w:t xml:space="preserve"> Review, 14(2), 109-121. </w:t>
      </w:r>
    </w:p>
    <w:p w:rsidR="000B068B" w:rsidRPr="000B068B" w:rsidRDefault="000B068B" w:rsidP="000B068B">
      <w:r w:rsidRPr="000B068B">
        <w:t>Smith, L. T. (1999). Decolonizing methodologies: Research and indigenous peoples. New York: St. Martin’s Press.</w:t>
      </w:r>
    </w:p>
    <w:bookmarkEnd w:id="0"/>
    <w:p w:rsidR="00F172BD" w:rsidRDefault="00F172BD"/>
    <w:sectPr w:rsidR="00F1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8EC"/>
    <w:multiLevelType w:val="hybridMultilevel"/>
    <w:tmpl w:val="21C4AD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A7"/>
    <w:rsid w:val="00013685"/>
    <w:rsid w:val="00014B94"/>
    <w:rsid w:val="00030A99"/>
    <w:rsid w:val="000450D4"/>
    <w:rsid w:val="000B068B"/>
    <w:rsid w:val="00126423"/>
    <w:rsid w:val="001831A7"/>
    <w:rsid w:val="002243EE"/>
    <w:rsid w:val="002478DC"/>
    <w:rsid w:val="002550EC"/>
    <w:rsid w:val="00256BB3"/>
    <w:rsid w:val="00297023"/>
    <w:rsid w:val="003265BC"/>
    <w:rsid w:val="00330646"/>
    <w:rsid w:val="0038704E"/>
    <w:rsid w:val="003B4C19"/>
    <w:rsid w:val="003C5B16"/>
    <w:rsid w:val="003E0A42"/>
    <w:rsid w:val="003F3A83"/>
    <w:rsid w:val="00440D61"/>
    <w:rsid w:val="00553809"/>
    <w:rsid w:val="005867EB"/>
    <w:rsid w:val="00593E86"/>
    <w:rsid w:val="00597584"/>
    <w:rsid w:val="005F3DB6"/>
    <w:rsid w:val="00604CBA"/>
    <w:rsid w:val="006936DF"/>
    <w:rsid w:val="006B009F"/>
    <w:rsid w:val="006D75FC"/>
    <w:rsid w:val="00877D56"/>
    <w:rsid w:val="00907546"/>
    <w:rsid w:val="009232CB"/>
    <w:rsid w:val="0099590C"/>
    <w:rsid w:val="00A80823"/>
    <w:rsid w:val="00AB1DBB"/>
    <w:rsid w:val="00B12265"/>
    <w:rsid w:val="00B57B8B"/>
    <w:rsid w:val="00B827DD"/>
    <w:rsid w:val="00B83929"/>
    <w:rsid w:val="00BB3E04"/>
    <w:rsid w:val="00BD7EB2"/>
    <w:rsid w:val="00BE00ED"/>
    <w:rsid w:val="00C01A8C"/>
    <w:rsid w:val="00D45261"/>
    <w:rsid w:val="00DD439A"/>
    <w:rsid w:val="00E8508F"/>
    <w:rsid w:val="00F172BD"/>
    <w:rsid w:val="00F47247"/>
    <w:rsid w:val="00FC0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8F"/>
    <w:pPr>
      <w:ind w:left="720"/>
      <w:contextualSpacing/>
    </w:pPr>
  </w:style>
  <w:style w:type="paragraph" w:styleId="NoSpacing">
    <w:name w:val="No Spacing"/>
    <w:uiPriority w:val="1"/>
    <w:qFormat/>
    <w:rsid w:val="003C5B16"/>
    <w:pPr>
      <w:spacing w:after="0" w:line="240" w:lineRule="auto"/>
    </w:pPr>
  </w:style>
  <w:style w:type="character" w:styleId="Hyperlink">
    <w:name w:val="Hyperlink"/>
    <w:basedOn w:val="DefaultParagraphFont"/>
    <w:uiPriority w:val="99"/>
    <w:unhideWhenUsed/>
    <w:rsid w:val="005975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8F"/>
    <w:pPr>
      <w:ind w:left="720"/>
      <w:contextualSpacing/>
    </w:pPr>
  </w:style>
  <w:style w:type="paragraph" w:styleId="NoSpacing">
    <w:name w:val="No Spacing"/>
    <w:uiPriority w:val="1"/>
    <w:qFormat/>
    <w:rsid w:val="003C5B16"/>
    <w:pPr>
      <w:spacing w:after="0" w:line="240" w:lineRule="auto"/>
    </w:pPr>
  </w:style>
  <w:style w:type="character" w:styleId="Hyperlink">
    <w:name w:val="Hyperlink"/>
    <w:basedOn w:val="DefaultParagraphFont"/>
    <w:uiPriority w:val="99"/>
    <w:unhideWhenUsed/>
    <w:rsid w:val="00597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ci-network.org/media/asset_publics/resources/000/004/399/original/place_based_competitiveness_austral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alaustralia.org.au/wp-content/uploads/2013/11/Rethinking-the-future-of-northern-Australias-regions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Turnour</dc:creator>
  <cp:lastModifiedBy>CDU</cp:lastModifiedBy>
  <cp:revision>2</cp:revision>
  <dcterms:created xsi:type="dcterms:W3CDTF">2014-09-02T03:12:00Z</dcterms:created>
  <dcterms:modified xsi:type="dcterms:W3CDTF">2014-09-02T03:12:00Z</dcterms:modified>
</cp:coreProperties>
</file>